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7"/>
        <w:gridCol w:w="3687"/>
        <w:gridCol w:w="2757"/>
      </w:tblGrid>
      <w:tr w:rsidR="00A67B62" w:rsidRPr="00B05B18" w:rsidTr="00A67B62">
        <w:tc>
          <w:tcPr>
            <w:tcW w:w="3127" w:type="dxa"/>
          </w:tcPr>
          <w:p w:rsidR="00A67B62" w:rsidRPr="00956677" w:rsidRDefault="00A67B62" w:rsidP="00552D87">
            <w:pPr>
              <w:pStyle w:val="11"/>
              <w:spacing w:before="0"/>
              <w:jc w:val="left"/>
              <w:rPr>
                <w:rFonts w:ascii="Times New Roman" w:hAnsi="Times New Roman" w:cs="Times New Roman"/>
                <w:b w:val="0"/>
                <w:color w:val="17365D" w:themeColor="text2" w:themeShade="BF"/>
                <w:sz w:val="20"/>
              </w:rPr>
            </w:pPr>
          </w:p>
        </w:tc>
        <w:tc>
          <w:tcPr>
            <w:tcW w:w="3687" w:type="dxa"/>
          </w:tcPr>
          <w:p w:rsidR="00A67B62" w:rsidRPr="00956677" w:rsidRDefault="00A67B62" w:rsidP="00552D87">
            <w:pPr>
              <w:pStyle w:val="11"/>
              <w:spacing w:before="0"/>
              <w:jc w:val="left"/>
              <w:rPr>
                <w:rFonts w:ascii="Times New Roman" w:hAnsi="Times New Roman" w:cs="Times New Roman"/>
                <w:b w:val="0"/>
                <w:color w:val="17365D" w:themeColor="text2" w:themeShade="BF"/>
                <w:sz w:val="20"/>
              </w:rPr>
            </w:pPr>
          </w:p>
        </w:tc>
        <w:tc>
          <w:tcPr>
            <w:tcW w:w="2757" w:type="dxa"/>
          </w:tcPr>
          <w:p w:rsidR="00A67B62" w:rsidRPr="00956677" w:rsidRDefault="00A67B62" w:rsidP="00552D87">
            <w:pPr>
              <w:pStyle w:val="11"/>
              <w:spacing w:before="0"/>
              <w:jc w:val="left"/>
              <w:rPr>
                <w:rFonts w:ascii="Times New Roman" w:hAnsi="Times New Roman" w:cs="Times New Roman"/>
                <w:color w:val="17365D" w:themeColor="text2" w:themeShade="BF"/>
                <w:sz w:val="20"/>
              </w:rPr>
            </w:pPr>
            <w:r w:rsidRPr="00956677">
              <w:rPr>
                <w:rFonts w:ascii="Times New Roman" w:hAnsi="Times New Roman" w:cs="Times New Roman"/>
                <w:color w:val="17365D" w:themeColor="text2" w:themeShade="BF"/>
                <w:sz w:val="20"/>
              </w:rPr>
              <w:t>УТВЕРЖДЕНО</w:t>
            </w:r>
          </w:p>
          <w:p w:rsidR="00A67B62" w:rsidRDefault="00A67B62" w:rsidP="00552D87">
            <w:pPr>
              <w:pStyle w:val="11"/>
              <w:spacing w:before="0"/>
              <w:jc w:val="left"/>
              <w:rPr>
                <w:rFonts w:ascii="Times New Roman" w:hAnsi="Times New Roman" w:cs="Times New Roman"/>
                <w:b w:val="0"/>
                <w:color w:val="17365D" w:themeColor="text2" w:themeShade="BF"/>
                <w:sz w:val="20"/>
              </w:rPr>
            </w:pPr>
            <w:r>
              <w:rPr>
                <w:rFonts w:ascii="Times New Roman" w:hAnsi="Times New Roman" w:cs="Times New Roman"/>
                <w:b w:val="0"/>
                <w:color w:val="17365D" w:themeColor="text2" w:themeShade="BF"/>
                <w:sz w:val="20"/>
              </w:rPr>
              <w:t xml:space="preserve">Приказ  директора </w:t>
            </w:r>
          </w:p>
          <w:p w:rsidR="00A67B62" w:rsidRPr="00956677" w:rsidRDefault="00A67B62" w:rsidP="00552D87">
            <w:pPr>
              <w:pStyle w:val="11"/>
              <w:spacing w:before="0"/>
              <w:jc w:val="left"/>
              <w:rPr>
                <w:rFonts w:ascii="Times New Roman" w:hAnsi="Times New Roman" w:cs="Times New Roman"/>
                <w:b w:val="0"/>
                <w:color w:val="17365D" w:themeColor="text2" w:themeShade="BF"/>
                <w:sz w:val="20"/>
              </w:rPr>
            </w:pPr>
            <w:r w:rsidRPr="00956677">
              <w:rPr>
                <w:rFonts w:ascii="Times New Roman" w:hAnsi="Times New Roman" w:cs="Times New Roman"/>
                <w:b w:val="0"/>
                <w:color w:val="17365D" w:themeColor="text2" w:themeShade="BF"/>
                <w:sz w:val="20"/>
              </w:rPr>
              <w:t xml:space="preserve">№ </w:t>
            </w:r>
            <w:r>
              <w:rPr>
                <w:rFonts w:ascii="Times New Roman" w:hAnsi="Times New Roman" w:cs="Times New Roman"/>
                <w:b w:val="0"/>
                <w:color w:val="17365D" w:themeColor="text2" w:themeShade="BF"/>
                <w:sz w:val="20"/>
              </w:rPr>
              <w:t>05-п</w:t>
            </w:r>
            <w:r w:rsidRPr="00956677">
              <w:rPr>
                <w:rFonts w:ascii="Times New Roman" w:hAnsi="Times New Roman" w:cs="Times New Roman"/>
                <w:b w:val="0"/>
                <w:color w:val="17365D" w:themeColor="text2" w:themeShade="BF"/>
                <w:sz w:val="20"/>
              </w:rPr>
              <w:t xml:space="preserve"> от </w:t>
            </w:r>
            <w:r>
              <w:rPr>
                <w:rFonts w:ascii="Times New Roman" w:hAnsi="Times New Roman" w:cs="Times New Roman"/>
                <w:b w:val="0"/>
                <w:color w:val="17365D" w:themeColor="text2" w:themeShade="BF"/>
                <w:sz w:val="20"/>
              </w:rPr>
              <w:t>12.02</w:t>
            </w:r>
            <w:r w:rsidRPr="00956677">
              <w:rPr>
                <w:rFonts w:ascii="Times New Roman" w:hAnsi="Times New Roman" w:cs="Times New Roman"/>
                <w:b w:val="0"/>
                <w:color w:val="17365D" w:themeColor="text2" w:themeShade="BF"/>
                <w:sz w:val="20"/>
              </w:rPr>
              <w:t>..20</w:t>
            </w:r>
            <w:r>
              <w:rPr>
                <w:rFonts w:ascii="Times New Roman" w:hAnsi="Times New Roman" w:cs="Times New Roman"/>
                <w:b w:val="0"/>
                <w:color w:val="17365D" w:themeColor="text2" w:themeShade="BF"/>
                <w:sz w:val="20"/>
              </w:rPr>
              <w:t>20 г.</w:t>
            </w:r>
          </w:p>
        </w:tc>
      </w:tr>
    </w:tbl>
    <w:p w:rsidR="00A67B62" w:rsidRDefault="00A67B62" w:rsidP="00A67B62">
      <w:pPr>
        <w:spacing w:after="0" w:line="312" w:lineRule="auto"/>
        <w:jc w:val="center"/>
        <w:rPr>
          <w:rFonts w:asciiTheme="majorHAnsi" w:eastAsiaTheme="majorEastAsia" w:hAnsiTheme="majorHAnsi" w:cstheme="minorHAnsi"/>
          <w:b/>
          <w:bCs/>
          <w:color w:val="17365D" w:themeColor="text2" w:themeShade="BF"/>
          <w:sz w:val="28"/>
          <w:szCs w:val="28"/>
        </w:rPr>
      </w:pPr>
    </w:p>
    <w:p w:rsidR="00A67B62" w:rsidRDefault="00A67B62" w:rsidP="00A67B62">
      <w:pPr>
        <w:spacing w:after="0" w:line="312" w:lineRule="auto"/>
        <w:jc w:val="center"/>
        <w:rPr>
          <w:rFonts w:asciiTheme="majorHAnsi" w:eastAsiaTheme="majorEastAsia" w:hAnsiTheme="majorHAnsi" w:cstheme="minorHAnsi"/>
          <w:b/>
          <w:bCs/>
          <w:color w:val="17365D" w:themeColor="text2" w:themeShade="BF"/>
          <w:sz w:val="28"/>
          <w:szCs w:val="28"/>
        </w:rPr>
      </w:pPr>
      <w:r>
        <w:rPr>
          <w:rFonts w:asciiTheme="majorHAnsi" w:eastAsiaTheme="majorEastAsia" w:hAnsiTheme="majorHAnsi" w:cstheme="minorHAnsi"/>
          <w:b/>
          <w:bCs/>
          <w:color w:val="17365D" w:themeColor="text2" w:themeShade="BF"/>
          <w:sz w:val="28"/>
          <w:szCs w:val="28"/>
        </w:rPr>
        <w:t>ПОЛОЖЕНИЕ</w:t>
      </w:r>
    </w:p>
    <w:p w:rsidR="00A67B62" w:rsidRPr="00A67B62" w:rsidRDefault="00A67B62" w:rsidP="00A67B62">
      <w:pPr>
        <w:spacing w:after="0" w:line="312" w:lineRule="auto"/>
        <w:jc w:val="center"/>
        <w:rPr>
          <w:rFonts w:asciiTheme="majorHAnsi" w:eastAsiaTheme="majorEastAsia" w:hAnsiTheme="majorHAnsi" w:cstheme="minorHAnsi"/>
          <w:b/>
          <w:bCs/>
          <w:color w:val="17365D" w:themeColor="text2" w:themeShade="BF"/>
          <w:sz w:val="28"/>
          <w:szCs w:val="28"/>
        </w:rPr>
      </w:pPr>
      <w:r w:rsidRPr="00A67B62">
        <w:rPr>
          <w:rFonts w:asciiTheme="majorHAnsi" w:eastAsiaTheme="majorEastAsia" w:hAnsiTheme="majorHAnsi" w:cstheme="minorHAnsi"/>
          <w:b/>
          <w:bCs/>
          <w:color w:val="17365D" w:themeColor="text2" w:themeShade="BF"/>
          <w:sz w:val="28"/>
          <w:szCs w:val="28"/>
        </w:rPr>
        <w:t>о порядке обучения по индивидуальному учебному плану</w:t>
      </w:r>
    </w:p>
    <w:p w:rsidR="00A67B62" w:rsidRPr="00246EFA" w:rsidRDefault="00A67B62" w:rsidP="00A67B62">
      <w:pPr>
        <w:pStyle w:val="11"/>
        <w:spacing w:before="0" w:line="312" w:lineRule="auto"/>
        <w:rPr>
          <w:rFonts w:cstheme="minorHAnsi"/>
          <w:color w:val="17365D" w:themeColor="text2" w:themeShade="BF"/>
          <w:sz w:val="28"/>
          <w:szCs w:val="28"/>
        </w:rPr>
      </w:pPr>
      <w:r>
        <w:rPr>
          <w:rFonts w:cstheme="minorHAnsi"/>
          <w:color w:val="17365D" w:themeColor="text2" w:themeShade="BF"/>
          <w:sz w:val="28"/>
          <w:szCs w:val="28"/>
        </w:rPr>
        <w:t xml:space="preserve">в </w:t>
      </w:r>
      <w:r w:rsidRPr="00246EFA">
        <w:rPr>
          <w:rFonts w:cstheme="minorHAnsi"/>
          <w:color w:val="17365D" w:themeColor="text2" w:themeShade="BF"/>
          <w:sz w:val="28"/>
          <w:szCs w:val="28"/>
        </w:rPr>
        <w:t>муниципально</w:t>
      </w:r>
      <w:r>
        <w:rPr>
          <w:rFonts w:cstheme="minorHAnsi"/>
          <w:color w:val="17365D" w:themeColor="text2" w:themeShade="BF"/>
          <w:sz w:val="28"/>
          <w:szCs w:val="28"/>
        </w:rPr>
        <w:t>м</w:t>
      </w:r>
      <w:r w:rsidRPr="00246EFA">
        <w:rPr>
          <w:rFonts w:cstheme="minorHAnsi"/>
          <w:color w:val="17365D" w:themeColor="text2" w:themeShade="BF"/>
          <w:sz w:val="28"/>
          <w:szCs w:val="28"/>
        </w:rPr>
        <w:t xml:space="preserve"> бюджетно</w:t>
      </w:r>
      <w:r>
        <w:rPr>
          <w:rFonts w:cstheme="minorHAnsi"/>
          <w:color w:val="17365D" w:themeColor="text2" w:themeShade="BF"/>
          <w:sz w:val="28"/>
          <w:szCs w:val="28"/>
        </w:rPr>
        <w:t>м</w:t>
      </w:r>
      <w:r w:rsidRPr="00246EFA">
        <w:rPr>
          <w:rFonts w:cstheme="minorHAnsi"/>
          <w:color w:val="17365D" w:themeColor="text2" w:themeShade="BF"/>
          <w:sz w:val="28"/>
          <w:szCs w:val="28"/>
        </w:rPr>
        <w:t xml:space="preserve"> общеобразовательно</w:t>
      </w:r>
      <w:r>
        <w:rPr>
          <w:rFonts w:cstheme="minorHAnsi"/>
          <w:color w:val="17365D" w:themeColor="text2" w:themeShade="BF"/>
          <w:sz w:val="28"/>
          <w:szCs w:val="28"/>
        </w:rPr>
        <w:t>м</w:t>
      </w:r>
      <w:r w:rsidRPr="00246EFA">
        <w:rPr>
          <w:rFonts w:cstheme="minorHAnsi"/>
          <w:color w:val="17365D" w:themeColor="text2" w:themeShade="BF"/>
          <w:sz w:val="28"/>
          <w:szCs w:val="28"/>
        </w:rPr>
        <w:t xml:space="preserve"> учреждени</w:t>
      </w:r>
      <w:r>
        <w:rPr>
          <w:rFonts w:cstheme="minorHAnsi"/>
          <w:color w:val="17365D" w:themeColor="text2" w:themeShade="BF"/>
          <w:sz w:val="28"/>
          <w:szCs w:val="28"/>
        </w:rPr>
        <w:t>и</w:t>
      </w:r>
      <w:r w:rsidRPr="00246EFA">
        <w:rPr>
          <w:rFonts w:cstheme="minorHAnsi"/>
          <w:color w:val="17365D" w:themeColor="text2" w:themeShade="BF"/>
          <w:sz w:val="28"/>
          <w:szCs w:val="28"/>
        </w:rPr>
        <w:t xml:space="preserve"> «Средняя общеобразовательная школа № 71» г. Брянска</w:t>
      </w:r>
    </w:p>
    <w:p w:rsidR="00A67B62" w:rsidRDefault="00A67B62" w:rsidP="00A67B62">
      <w:pPr>
        <w:spacing w:after="0" w:line="312" w:lineRule="auto"/>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I. Общие положения</w:t>
      </w:r>
    </w:p>
    <w:p w:rsidR="001E4173" w:rsidRPr="00BF0137" w:rsidRDefault="00DA2EDE" w:rsidP="00DA2EDE">
      <w:pPr>
        <w:spacing w:after="0" w:line="240" w:lineRule="auto"/>
        <w:jc w:val="both"/>
        <w:rPr>
          <w:rFonts w:ascii="Times New Roman" w:hAnsi="Times New Roman"/>
          <w:sz w:val="28"/>
          <w:szCs w:val="28"/>
        </w:rPr>
      </w:pPr>
      <w:r>
        <w:rPr>
          <w:rFonts w:ascii="Times New Roman" w:hAnsi="Times New Roman"/>
          <w:sz w:val="28"/>
          <w:szCs w:val="28"/>
        </w:rPr>
        <w:t xml:space="preserve">1.1. </w:t>
      </w:r>
      <w:r w:rsidR="001E4173" w:rsidRPr="00BF0137">
        <w:rPr>
          <w:rFonts w:ascii="Times New Roman" w:hAnsi="Times New Roman"/>
          <w:sz w:val="28"/>
          <w:szCs w:val="28"/>
        </w:rPr>
        <w:t>Настоящее Положение «О порядке обучения по индивидуальному учебному плану в</w:t>
      </w:r>
      <w:r w:rsidRPr="00DA2EDE">
        <w:rPr>
          <w:rFonts w:ascii="Times New Roman" w:hAnsi="Times New Roman"/>
          <w:sz w:val="28"/>
          <w:szCs w:val="28"/>
        </w:rPr>
        <w:t xml:space="preserve"> муниципальном бюджетном общеобразовательном учреждении «Средняя общеобразовательная школа № 71» г. Брянска</w:t>
      </w:r>
      <w:r w:rsidR="001E4173" w:rsidRPr="00BF0137">
        <w:rPr>
          <w:rFonts w:ascii="Times New Roman" w:hAnsi="Times New Roman"/>
          <w:sz w:val="28"/>
          <w:szCs w:val="28"/>
        </w:rPr>
        <w:t xml:space="preserve">» (далее – </w:t>
      </w:r>
      <w:r>
        <w:rPr>
          <w:rFonts w:ascii="Times New Roman" w:hAnsi="Times New Roman"/>
          <w:sz w:val="28"/>
          <w:szCs w:val="28"/>
        </w:rPr>
        <w:t>П</w:t>
      </w:r>
      <w:r w:rsidR="001E4173" w:rsidRPr="00BF0137">
        <w:rPr>
          <w:rFonts w:ascii="Times New Roman" w:hAnsi="Times New Roman"/>
          <w:sz w:val="28"/>
          <w:szCs w:val="28"/>
        </w:rPr>
        <w:t>оложение) разработано на основании:</w:t>
      </w:r>
    </w:p>
    <w:p w:rsidR="00DA2EDE" w:rsidRDefault="001E4173" w:rsidP="00DA2EDE">
      <w:pPr>
        <w:pStyle w:val="a3"/>
        <w:numPr>
          <w:ilvl w:val="0"/>
          <w:numId w:val="1"/>
        </w:numPr>
        <w:spacing w:after="0" w:line="240" w:lineRule="auto"/>
        <w:ind w:left="851" w:hanging="425"/>
        <w:jc w:val="both"/>
        <w:rPr>
          <w:rFonts w:ascii="Times New Roman" w:hAnsi="Times New Roman"/>
          <w:sz w:val="28"/>
          <w:szCs w:val="28"/>
        </w:rPr>
      </w:pPr>
      <w:r w:rsidRPr="00DA2EDE">
        <w:rPr>
          <w:rFonts w:ascii="Times New Roman" w:hAnsi="Times New Roman"/>
          <w:sz w:val="28"/>
          <w:szCs w:val="28"/>
        </w:rPr>
        <w:t>Федерального закона от 29 декабря 2012 г. № 273-ФЗ «Об образовании в Российской Федерации»;</w:t>
      </w:r>
    </w:p>
    <w:p w:rsidR="001E4173" w:rsidRDefault="001E4173" w:rsidP="00DA2EDE">
      <w:pPr>
        <w:pStyle w:val="a3"/>
        <w:numPr>
          <w:ilvl w:val="0"/>
          <w:numId w:val="1"/>
        </w:numPr>
        <w:spacing w:after="0" w:line="240" w:lineRule="auto"/>
        <w:ind w:left="851" w:hanging="425"/>
        <w:jc w:val="both"/>
        <w:rPr>
          <w:rFonts w:ascii="Times New Roman" w:hAnsi="Times New Roman"/>
          <w:sz w:val="28"/>
          <w:szCs w:val="28"/>
        </w:rPr>
      </w:pPr>
      <w:r w:rsidRPr="00DA2EDE">
        <w:rPr>
          <w:rFonts w:ascii="Times New Roman" w:hAnsi="Times New Roman"/>
          <w:sz w:val="28"/>
          <w:szCs w:val="28"/>
        </w:rPr>
        <w:t>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E4173" w:rsidRPr="00DA2EDE" w:rsidRDefault="001E4173" w:rsidP="00DA2EDE">
      <w:pPr>
        <w:pStyle w:val="a3"/>
        <w:numPr>
          <w:ilvl w:val="0"/>
          <w:numId w:val="1"/>
        </w:numPr>
        <w:spacing w:after="0" w:line="240" w:lineRule="auto"/>
        <w:ind w:left="851" w:hanging="425"/>
        <w:jc w:val="both"/>
        <w:rPr>
          <w:rFonts w:ascii="Times New Roman" w:hAnsi="Times New Roman"/>
          <w:sz w:val="28"/>
          <w:szCs w:val="28"/>
        </w:rPr>
      </w:pPr>
      <w:r w:rsidRPr="00DA2EDE">
        <w:rPr>
          <w:rFonts w:ascii="Times New Roman" w:hAnsi="Times New Roman"/>
          <w:sz w:val="28"/>
          <w:szCs w:val="28"/>
        </w:rPr>
        <w:t xml:space="preserve">Устава </w:t>
      </w:r>
      <w:r w:rsidR="008D05BB">
        <w:rPr>
          <w:rFonts w:ascii="Times New Roman" w:hAnsi="Times New Roman"/>
          <w:sz w:val="28"/>
          <w:szCs w:val="28"/>
        </w:rPr>
        <w:t>ОО</w:t>
      </w:r>
      <w:r w:rsidRPr="00DA2EDE">
        <w:rPr>
          <w:rFonts w:ascii="Times New Roman" w:hAnsi="Times New Roman"/>
          <w:sz w:val="28"/>
          <w:szCs w:val="28"/>
        </w:rPr>
        <w:t>.</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1.3. Обучение по индивидуальному учебному плану может быть организовано для учащихся: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1.3.2. С высокой степенью успешности в освоении программ;</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1.3.3. С ограниченными возможностями здоровья;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1.3.4. По иным основаниям.</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w:t>
      </w:r>
      <w:r w:rsidRPr="00BF0137">
        <w:rPr>
          <w:rFonts w:ascii="Times New Roman" w:hAnsi="Times New Roman"/>
          <w:sz w:val="28"/>
          <w:szCs w:val="28"/>
        </w:rPr>
        <w:lastRenderedPageBreak/>
        <w:t>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1E4173"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8D05BB" w:rsidRPr="00BF0137" w:rsidRDefault="008D05BB" w:rsidP="001E4173">
      <w:pPr>
        <w:spacing w:after="0" w:line="240" w:lineRule="auto"/>
        <w:ind w:firstLine="709"/>
        <w:jc w:val="both"/>
        <w:rPr>
          <w:rFonts w:ascii="Times New Roman" w:hAnsi="Times New Roman"/>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II. Перевод на обучение по индивидуальному учебному плану</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2.6. Индивидуальный учебный план разрабатывается в соответствии со спецификой и возможностями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2.7. При реализации образовательных программ в соответствии с индивидуальным учебным планом могут использоваться различные </w:t>
      </w:r>
      <w:r w:rsidRPr="00BF0137">
        <w:rPr>
          <w:rFonts w:ascii="Times New Roman" w:hAnsi="Times New Roman"/>
          <w:sz w:val="28"/>
          <w:szCs w:val="28"/>
        </w:rPr>
        <w:lastRenderedPageBreak/>
        <w:t>образовательные технологии, в том числе дистанционные образовательные технологии, электронное обучение.</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2.11. Заявления о переводе на обучение по индивидуальному учебному плану принимаются в течение учебного года до 15 мая </w:t>
      </w:r>
      <w:r w:rsidR="008D05BB">
        <w:rPr>
          <w:rFonts w:ascii="Times New Roman" w:hAnsi="Times New Roman"/>
          <w:i/>
          <w:iCs/>
          <w:sz w:val="28"/>
          <w:szCs w:val="28"/>
        </w:rPr>
        <w:t>.</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2.12. Обучение по индивидуальному учебному плану начинается, как правило, с начала учебного года.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2.13. Перевод на обучение по индивидуальному учебному плану оформляется приказом руководителя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2.14. Индивидуальный учебный план утверждается решением педагогического совета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w:t>
      </w:r>
      <w:r w:rsidRPr="00BF0137">
        <w:rPr>
          <w:rFonts w:ascii="Times New Roman" w:hAnsi="Times New Roman"/>
          <w:sz w:val="28"/>
          <w:szCs w:val="28"/>
        </w:rPr>
        <w:lastRenderedPageBreak/>
        <w:t>сроки текущего и итогового контроля, педагоги, ведущие обучение, оформляются приказом руководителя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1E4173"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2.20. Промежуточная и государственная итоговая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8D05BB" w:rsidRPr="00BF0137" w:rsidRDefault="008D05BB" w:rsidP="001E4173">
      <w:pPr>
        <w:spacing w:after="0" w:line="240" w:lineRule="auto"/>
        <w:ind w:firstLine="709"/>
        <w:jc w:val="both"/>
        <w:rPr>
          <w:rFonts w:ascii="Times New Roman" w:hAnsi="Times New Roman"/>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III. Требования к индивидуальному учебному плану начального общего образования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3.1.1. Учебные занятия для углубленного изучения отдельных предметов;</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3.1.2. Учебные занятия, обеспечивающие различные интересы обучающихся, в том числе этнокультурные;</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3.1.3. Иные учебные предметы</w:t>
      </w:r>
      <w:r w:rsidRPr="00BF0137">
        <w:rPr>
          <w:rFonts w:ascii="Times New Roman" w:hAnsi="Times New Roman"/>
          <w:i/>
          <w:iCs/>
          <w:sz w:val="28"/>
          <w:szCs w:val="28"/>
        </w:rPr>
        <w:t xml:space="preserve"> (с учетом потребностей обучающегося и возможностей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3.2. Для проведения данных занятий используются учебные часы согласно части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3.4. В индивидуальный учебный план начального общего образования входят следующие обязательные предметные области:</w:t>
      </w:r>
      <w:r w:rsidRPr="00BF0137">
        <w:rPr>
          <w:rFonts w:ascii="Times New Roman" w:hAnsi="Times New Roman"/>
          <w:color w:val="FF0000"/>
          <w:sz w:val="28"/>
          <w:szCs w:val="28"/>
        </w:rPr>
        <w:t xml:space="preserve"> </w:t>
      </w:r>
      <w:r w:rsidRPr="00BF0137">
        <w:rPr>
          <w:rFonts w:ascii="Times New Roman" w:hAnsi="Times New Roman"/>
          <w:sz w:val="28"/>
          <w:szCs w:val="28"/>
        </w:rPr>
        <w:t xml:space="preserve">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3.6. Количество учебных занятий за 4 учебных года не может составлять менее 2 904 часов и более 3 345 часов.</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lastRenderedPageBreak/>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IV. Требования к индивидуальному учебному плану основного общего образования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4.1.1. Учебные занятия для углубленного изучения отдельных предметов; </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4.1.2. Увеличение учебных часов, отведённых на изучение отдельных предметов обязательной части;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4.1.4. Организацию внеурочной деятельности, ориентированную на обеспечение индивидуальных потребностей обучающихся;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4.1.5. Иные учебные предметы </w:t>
      </w:r>
      <w:r w:rsidRPr="00BF0137">
        <w:rPr>
          <w:rFonts w:ascii="Times New Roman" w:hAnsi="Times New Roman"/>
          <w:i/>
          <w:iCs/>
          <w:sz w:val="28"/>
          <w:szCs w:val="28"/>
        </w:rPr>
        <w:t>(с учетом потребностей обучающегося и возможностей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4.3. В индивидуальный учебный план основного общего образования входят следующие обязательные предметные области и учебные предметы:</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-русский язык и литература (русский язык, литература);</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-иностранные языки (иностранный язык, второй иностранный язык);</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-математика и информатика (математика, алгебра, геометрия, информатика);</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-основы духовно-нравственной культуры народов России;</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-естественнонаучные предметы (физика, биология, химия);</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-искусство (изобразительное искусство, музыка);</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-технология (технология);</w:t>
      </w:r>
    </w:p>
    <w:p w:rsidR="001E4173" w:rsidRPr="00AF4C4A" w:rsidRDefault="001E4173" w:rsidP="001E4173">
      <w:pPr>
        <w:pStyle w:val="ConsPlusNormal"/>
        <w:ind w:firstLine="709"/>
        <w:jc w:val="both"/>
        <w:rPr>
          <w:rFonts w:ascii="Times New Roman" w:hAnsi="Times New Roman" w:cs="Times New Roman"/>
          <w:sz w:val="28"/>
          <w:szCs w:val="28"/>
        </w:rPr>
      </w:pPr>
      <w:r w:rsidRPr="00AF4C4A">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4.4. Количество учебных занятий за 5 лет не может составлять менее 5 267 часов и более  6 020 часов.</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w:t>
      </w:r>
      <w:r w:rsidRPr="00BF0137">
        <w:rPr>
          <w:rFonts w:ascii="Times New Roman" w:hAnsi="Times New Roman"/>
          <w:sz w:val="28"/>
          <w:szCs w:val="28"/>
        </w:rPr>
        <w:lastRenderedPageBreak/>
        <w:t>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V. Требования к индивидуальному учебному плану среднего общего образования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5.2. Остальные учебные предметы на базовом уровне включаются в индивидуальный учебный план по выбору.</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VI. Необходимые условия для реализации учебного плана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6.1. Для составления индивидуального учебного плана следует:</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6.1.1. Включить в учебный план обязательные учебные предметы на базовом уровне (инвариантная часть федерального компонента);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6.1.2.В учебный план также могут быть включены другие учебные предметы на базовом уровне (из вариативной части федерального компонента);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6.1.3. Включить в учебный план региональный компонент;</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VII. Сроки работы по индивидуальному учебному плану</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1E4173"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lastRenderedPageBreak/>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E4173" w:rsidRDefault="001E4173" w:rsidP="001E4173">
      <w:pPr>
        <w:spacing w:after="0" w:line="240" w:lineRule="auto"/>
        <w:ind w:firstLine="709"/>
        <w:jc w:val="both"/>
        <w:rPr>
          <w:rFonts w:ascii="Times New Roman" w:hAnsi="Times New Roman"/>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VIII. Контроль исполнения индивидуального учебного плана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IX. Государственная итоговая аттестация обучающихся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X. Финансовое обеспечение и материально-техническое оснащение</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XI. Порядок управления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11.1. В компетенцию администрации образовательной организации входит:</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11.1.1. Разработка положения об организации обучения по индивидуальному  учебному плану;</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 xml:space="preserve">11.1.2. Предоставление в недельный срок в орган управления в сфере образования об организации обучения по индивидуальному учебному плану, </w:t>
      </w:r>
      <w:r w:rsidRPr="00BF0137">
        <w:rPr>
          <w:rFonts w:ascii="Times New Roman" w:hAnsi="Times New Roman"/>
          <w:sz w:val="28"/>
          <w:szCs w:val="28"/>
        </w:rPr>
        <w:lastRenderedPageBreak/>
        <w:t>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11.1.3. Обеспечение своевременного подбора учителей, проведение экспертизы учебных программ и контроль их выполнения;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11.2. При организации обучения по индивидуальному учебному плану образовательная организация имеет следующие документы:</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11.2.1. Заявление родителей (законных представителей) обучающихся;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11.2.2. Решение педагогического совета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11.2.3. Приказ руководителя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11.2.4.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11.2.5. Журнал учета обучения по индивидуальному  учебному плану.</w:t>
      </w:r>
    </w:p>
    <w:p w:rsidR="008D05BB" w:rsidRDefault="008D05BB" w:rsidP="001E4173">
      <w:pPr>
        <w:spacing w:after="0" w:line="240" w:lineRule="auto"/>
        <w:ind w:firstLine="709"/>
        <w:jc w:val="both"/>
        <w:outlineLvl w:val="4"/>
        <w:rPr>
          <w:rFonts w:ascii="Times New Roman" w:hAnsi="Times New Roman"/>
          <w:b/>
          <w:bCs/>
          <w:sz w:val="28"/>
          <w:szCs w:val="28"/>
        </w:rPr>
      </w:pPr>
    </w:p>
    <w:p w:rsidR="001E4173" w:rsidRPr="00BF0137" w:rsidRDefault="001E4173" w:rsidP="001E4173">
      <w:pPr>
        <w:spacing w:after="0" w:line="240" w:lineRule="auto"/>
        <w:ind w:firstLine="709"/>
        <w:jc w:val="both"/>
        <w:outlineLvl w:val="4"/>
        <w:rPr>
          <w:rFonts w:ascii="Times New Roman" w:hAnsi="Times New Roman"/>
          <w:b/>
          <w:bCs/>
          <w:sz w:val="28"/>
          <w:szCs w:val="28"/>
        </w:rPr>
      </w:pPr>
      <w:r w:rsidRPr="00BF0137">
        <w:rPr>
          <w:rFonts w:ascii="Times New Roman" w:hAnsi="Times New Roman"/>
          <w:b/>
          <w:bCs/>
          <w:sz w:val="28"/>
          <w:szCs w:val="28"/>
        </w:rPr>
        <w:t>XII. Порядок принятия и срок действия Положения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12.2. Настоящее Положение принимается на неопределенный срок и вступает в силу с момента его утверждения.</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E4173" w:rsidRPr="00BF0137" w:rsidRDefault="001E4173" w:rsidP="001E4173">
      <w:pPr>
        <w:spacing w:after="0" w:line="240" w:lineRule="auto"/>
        <w:ind w:firstLine="709"/>
        <w:jc w:val="both"/>
        <w:rPr>
          <w:rFonts w:ascii="Times New Roman" w:hAnsi="Times New Roman"/>
          <w:sz w:val="28"/>
          <w:szCs w:val="28"/>
        </w:rPr>
      </w:pPr>
      <w:r w:rsidRPr="00BF0137">
        <w:rPr>
          <w:rFonts w:ascii="Times New Roman" w:hAnsi="Times New Roman"/>
          <w:sz w:val="28"/>
          <w:szCs w:val="28"/>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1E4173" w:rsidRDefault="001E4173" w:rsidP="001E4173">
      <w:pPr>
        <w:pStyle w:val="a3"/>
        <w:spacing w:after="0" w:line="240" w:lineRule="auto"/>
        <w:ind w:left="0" w:firstLine="709"/>
        <w:jc w:val="both"/>
        <w:rPr>
          <w:rFonts w:ascii="Times New Roman" w:hAnsi="Times New Roman"/>
          <w:sz w:val="28"/>
          <w:szCs w:val="28"/>
        </w:rPr>
      </w:pPr>
    </w:p>
    <w:p w:rsidR="005955DA" w:rsidRDefault="005955DA"/>
    <w:sectPr w:rsidR="005955DA" w:rsidSect="005955D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40" w:rsidRDefault="009A0140" w:rsidP="00A67B62">
      <w:pPr>
        <w:spacing w:after="0" w:line="240" w:lineRule="auto"/>
      </w:pPr>
      <w:r>
        <w:separator/>
      </w:r>
    </w:p>
  </w:endnote>
  <w:endnote w:type="continuationSeparator" w:id="1">
    <w:p w:rsidR="009A0140" w:rsidRDefault="009A0140" w:rsidP="00A67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40" w:rsidRDefault="009A0140" w:rsidP="00A67B62">
      <w:pPr>
        <w:spacing w:after="0" w:line="240" w:lineRule="auto"/>
      </w:pPr>
      <w:r>
        <w:separator/>
      </w:r>
    </w:p>
  </w:footnote>
  <w:footnote w:type="continuationSeparator" w:id="1">
    <w:p w:rsidR="009A0140" w:rsidRDefault="009A0140" w:rsidP="00A67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62" w:rsidRPr="00450289" w:rsidRDefault="00A67B62" w:rsidP="00A67B62">
    <w:pPr>
      <w:pStyle w:val="a5"/>
      <w:jc w:val="right"/>
      <w:rPr>
        <w:i/>
        <w:sz w:val="20"/>
      </w:rPr>
    </w:pPr>
    <w:r w:rsidRPr="00450289">
      <w:rPr>
        <w:i/>
        <w:sz w:val="20"/>
      </w:rPr>
      <w:t xml:space="preserve">Локальные нормативные акты </w:t>
    </w:r>
    <w:r>
      <w:rPr>
        <w:i/>
        <w:sz w:val="20"/>
      </w:rPr>
      <w:t>МБОУ СОШ №71</w:t>
    </w:r>
    <w:r w:rsidRPr="00450289">
      <w:rPr>
        <w:i/>
        <w:sz w:val="20"/>
      </w:rPr>
      <w:t xml:space="preserve"> г. Брянска</w:t>
    </w:r>
  </w:p>
  <w:p w:rsidR="00A67B62" w:rsidRDefault="00A67B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B94"/>
    <w:multiLevelType w:val="hybridMultilevel"/>
    <w:tmpl w:val="F7C83CCA"/>
    <w:lvl w:ilvl="0" w:tplc="C0A4E65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E4173"/>
    <w:rsid w:val="00070CB0"/>
    <w:rsid w:val="001E4173"/>
    <w:rsid w:val="005955DA"/>
    <w:rsid w:val="00855853"/>
    <w:rsid w:val="008D05BB"/>
    <w:rsid w:val="009A0140"/>
    <w:rsid w:val="00A67B62"/>
    <w:rsid w:val="00C43EEC"/>
    <w:rsid w:val="00DA2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73"/>
    <w:rPr>
      <w:rFonts w:ascii="Calibri" w:eastAsia="Times New Roman" w:hAnsi="Calibri" w:cs="Times New Roman"/>
      <w:lang w:eastAsia="ru-RU"/>
    </w:rPr>
  </w:style>
  <w:style w:type="paragraph" w:styleId="1">
    <w:name w:val="heading 1"/>
    <w:basedOn w:val="a"/>
    <w:next w:val="a"/>
    <w:link w:val="10"/>
    <w:qFormat/>
    <w:rsid w:val="00A67B62"/>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A67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173"/>
    <w:pPr>
      <w:ind w:left="720"/>
      <w:contextualSpacing/>
    </w:pPr>
  </w:style>
  <w:style w:type="paragraph" w:customStyle="1" w:styleId="ConsPlusNormal">
    <w:name w:val="ConsPlusNormal"/>
    <w:rsid w:val="001E417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A67B62"/>
    <w:rPr>
      <w:rFonts w:ascii="Times New Roman" w:eastAsia="Times New Roman" w:hAnsi="Times New Roman" w:cs="Times New Roman"/>
      <w:sz w:val="28"/>
      <w:szCs w:val="28"/>
      <w:lang w:eastAsia="ar-SA"/>
    </w:rPr>
  </w:style>
  <w:style w:type="paragraph" w:customStyle="1" w:styleId="11">
    <w:name w:val="заголовок 1 уровня"/>
    <w:basedOn w:val="2"/>
    <w:link w:val="12"/>
    <w:qFormat/>
    <w:rsid w:val="00A67B62"/>
    <w:pPr>
      <w:spacing w:line="240" w:lineRule="auto"/>
      <w:jc w:val="center"/>
    </w:pPr>
  </w:style>
  <w:style w:type="character" w:customStyle="1" w:styleId="12">
    <w:name w:val="заголовок 1 уровня Знак"/>
    <w:basedOn w:val="20"/>
    <w:link w:val="11"/>
    <w:rsid w:val="00A67B62"/>
  </w:style>
  <w:style w:type="table" w:styleId="a4">
    <w:name w:val="Table Grid"/>
    <w:basedOn w:val="a1"/>
    <w:uiPriority w:val="39"/>
    <w:rsid w:val="00A67B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67B62"/>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A67B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B62"/>
    <w:rPr>
      <w:rFonts w:ascii="Calibri" w:eastAsia="Times New Roman" w:hAnsi="Calibri" w:cs="Times New Roman"/>
      <w:lang w:eastAsia="ru-RU"/>
    </w:rPr>
  </w:style>
  <w:style w:type="paragraph" w:styleId="a7">
    <w:name w:val="footer"/>
    <w:basedOn w:val="a"/>
    <w:link w:val="a8"/>
    <w:uiPriority w:val="99"/>
    <w:semiHidden/>
    <w:unhideWhenUsed/>
    <w:rsid w:val="00A67B6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67B6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2020-05-19T10:56:00Z</dcterms:created>
  <dcterms:modified xsi:type="dcterms:W3CDTF">2020-05-19T19:18:00Z</dcterms:modified>
</cp:coreProperties>
</file>